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70EF7" w14:textId="77777777" w:rsidR="007471A0" w:rsidRDefault="007471A0" w:rsidP="007471A0">
      <w:pPr>
        <w:widowControl w:val="0"/>
        <w:tabs>
          <w:tab w:val="left" w:pos="6804"/>
        </w:tabs>
        <w:ind w:right="3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065F107" w14:textId="77777777" w:rsidR="00F62472" w:rsidRPr="00F62472" w:rsidRDefault="00F62472" w:rsidP="00F62472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Консультативный совет</w:t>
      </w:r>
    </w:p>
    <w:p w14:paraId="61DC3E1B" w14:textId="77777777" w:rsidR="00F62472" w:rsidRPr="00F62472" w:rsidRDefault="00F62472" w:rsidP="00F62472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Министерстве по налогам и сборам</w:t>
      </w:r>
    </w:p>
    <w:p w14:paraId="59478439" w14:textId="77777777" w:rsidR="00F62472" w:rsidRPr="00F62472" w:rsidRDefault="00F62472" w:rsidP="00F62472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27A874F2" w14:textId="77777777" w:rsidR="00F62472" w:rsidRPr="00F62472" w:rsidRDefault="00F62472" w:rsidP="00F62472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49B3385" w14:textId="77777777" w:rsidR="00F62472" w:rsidRPr="00F62472" w:rsidRDefault="00F62472" w:rsidP="00F62472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ПРОТОКОЛ </w:t>
      </w:r>
    </w:p>
    <w:bookmarkEnd w:id="0"/>
    <w:p w14:paraId="5114335B" w14:textId="77777777" w:rsidR="00F62472" w:rsidRPr="00F62472" w:rsidRDefault="00F62472" w:rsidP="00F62472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заседания совета </w:t>
      </w:r>
    </w:p>
    <w:p w14:paraId="0F031330" w14:textId="77777777" w:rsidR="00F62472" w:rsidRPr="00F62472" w:rsidRDefault="00F62472" w:rsidP="00F62472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403C5D9" w14:textId="77777777" w:rsidR="00F62472" w:rsidRPr="00F62472" w:rsidRDefault="00F62472" w:rsidP="00F62472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13.05.2026 № 2</w:t>
      </w:r>
    </w:p>
    <w:p w14:paraId="1FC9CC28" w14:textId="77777777" w:rsidR="00F62472" w:rsidRPr="00F62472" w:rsidRDefault="00F62472" w:rsidP="00F62472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</w:t>
      </w:r>
      <w:proofErr w:type="spellEnd"/>
    </w:p>
    <w:p w14:paraId="1BA9E876" w14:textId="77777777" w:rsidR="00F62472" w:rsidRPr="00F62472" w:rsidRDefault="00F62472" w:rsidP="00F62472">
      <w:pPr>
        <w:widowControl w:val="0"/>
        <w:tabs>
          <w:tab w:val="left" w:pos="709"/>
        </w:tabs>
        <w:spacing w:line="240" w:lineRule="exact"/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47A6BF" w14:textId="77777777" w:rsidR="00F62472" w:rsidRPr="00F62472" w:rsidRDefault="00F62472" w:rsidP="00F62472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</w:t>
      </w:r>
      <w:proofErr w:type="gram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С.В.Еськова</w:t>
      </w:r>
      <w:proofErr w:type="spellEnd"/>
      <w:proofErr w:type="gramEnd"/>
    </w:p>
    <w:p w14:paraId="37D4C9D9" w14:textId="77777777" w:rsidR="00F62472" w:rsidRPr="00F62472" w:rsidRDefault="00F62472" w:rsidP="00F62472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Секретарь –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Н.О.Кондратенко</w:t>
      </w:r>
      <w:proofErr w:type="spellEnd"/>
    </w:p>
    <w:p w14:paraId="79506936" w14:textId="77777777" w:rsidR="00F62472" w:rsidRPr="00F62472" w:rsidRDefault="00F62472" w:rsidP="00F62472">
      <w:pPr>
        <w:widowControl w:val="0"/>
        <w:tabs>
          <w:tab w:val="left" w:pos="709"/>
        </w:tabs>
        <w:spacing w:line="36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CE14597" w14:textId="77777777" w:rsidR="00F62472" w:rsidRPr="00F62472" w:rsidRDefault="00F62472" w:rsidP="00F62472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Присутствовали:</w:t>
      </w:r>
    </w:p>
    <w:p w14:paraId="093766D5" w14:textId="77777777" w:rsidR="00F62472" w:rsidRPr="00F62472" w:rsidRDefault="00F62472" w:rsidP="00F62472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Члены консультативного совета: </w:t>
      </w:r>
    </w:p>
    <w:p w14:paraId="2D70BCF7" w14:textId="77777777" w:rsidR="00F62472" w:rsidRPr="00F62472" w:rsidRDefault="00F62472" w:rsidP="00F62472">
      <w:pPr>
        <w:widowControl w:val="0"/>
        <w:tabs>
          <w:tab w:val="left" w:pos="709"/>
        </w:tabs>
        <w:spacing w:line="280" w:lineRule="exac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Апимахович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В.А.,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Бацевичус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О.Ю.,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Веремейко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Ю.А., Володина И.Ф., Высоцкая Н.А.,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Жердецкая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Н.Н.,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Загрядская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О.Ю.,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Кацубинская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Е.В., Кишко О.С.,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Колодич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Н.В.,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Конончик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Е.С., Кулешова Н.Н.,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Полудень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 С.А., Старовойтова Д.И.</w:t>
      </w:r>
    </w:p>
    <w:p w14:paraId="590E236D" w14:textId="77777777" w:rsidR="00F62472" w:rsidRPr="00F62472" w:rsidRDefault="00F62472" w:rsidP="00F62472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Приглашенные:</w:t>
      </w:r>
    </w:p>
    <w:tbl>
      <w:tblPr>
        <w:tblW w:w="9398" w:type="dxa"/>
        <w:tblInd w:w="-42" w:type="dxa"/>
        <w:tblLook w:val="04A0" w:firstRow="1" w:lastRow="0" w:firstColumn="1" w:lastColumn="0" w:noHBand="0" w:noVBand="1"/>
      </w:tblPr>
      <w:tblGrid>
        <w:gridCol w:w="2736"/>
        <w:gridCol w:w="6662"/>
      </w:tblGrid>
      <w:tr w:rsidR="00F62472" w:rsidRPr="00F62472" w14:paraId="30D26AD3" w14:textId="77777777" w:rsidTr="00B7269B">
        <w:trPr>
          <w:trHeight w:val="280"/>
        </w:trPr>
        <w:tc>
          <w:tcPr>
            <w:tcW w:w="2736" w:type="dxa"/>
          </w:tcPr>
          <w:p w14:paraId="0E71E252" w14:textId="77777777" w:rsidR="00F62472" w:rsidRPr="00F62472" w:rsidRDefault="00F62472" w:rsidP="00F62472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Волкогонова Ю.М.</w:t>
            </w:r>
          </w:p>
        </w:tc>
        <w:tc>
          <w:tcPr>
            <w:tcW w:w="6662" w:type="dxa"/>
          </w:tcPr>
          <w:p w14:paraId="42040F79" w14:textId="77777777" w:rsidR="00F62472" w:rsidRPr="00F62472" w:rsidRDefault="00F62472" w:rsidP="00F62472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МНС;</w:t>
            </w:r>
          </w:p>
        </w:tc>
      </w:tr>
      <w:tr w:rsidR="00F62472" w:rsidRPr="00F62472" w14:paraId="64302AD6" w14:textId="77777777" w:rsidTr="00B7269B">
        <w:trPr>
          <w:trHeight w:val="280"/>
        </w:trPr>
        <w:tc>
          <w:tcPr>
            <w:tcW w:w="2736" w:type="dxa"/>
          </w:tcPr>
          <w:p w14:paraId="135900A3" w14:textId="77777777" w:rsidR="00F62472" w:rsidRPr="00F62472" w:rsidRDefault="00F62472" w:rsidP="00F62472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Дубовик В.Л.</w:t>
            </w:r>
          </w:p>
        </w:tc>
        <w:tc>
          <w:tcPr>
            <w:tcW w:w="6662" w:type="dxa"/>
          </w:tcPr>
          <w:p w14:paraId="587A3AD7" w14:textId="77777777" w:rsidR="00F62472" w:rsidRPr="00F62472" w:rsidRDefault="00F62472" w:rsidP="00F62472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ОАО «Агентство </w:t>
            </w:r>
            <w:proofErr w:type="spellStart"/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Гревцова</w:t>
            </w:r>
            <w:proofErr w:type="spellEnd"/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</w:tr>
      <w:tr w:rsidR="00F62472" w:rsidRPr="00F62472" w14:paraId="0F15D1FC" w14:textId="77777777" w:rsidTr="00B7269B">
        <w:trPr>
          <w:trHeight w:val="280"/>
        </w:trPr>
        <w:tc>
          <w:tcPr>
            <w:tcW w:w="2736" w:type="dxa"/>
          </w:tcPr>
          <w:p w14:paraId="26E840B1" w14:textId="77777777" w:rsidR="00F62472" w:rsidRPr="00F62472" w:rsidRDefault="00F62472" w:rsidP="00F62472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Максименко Н.В.</w:t>
            </w:r>
          </w:p>
        </w:tc>
        <w:tc>
          <w:tcPr>
            <w:tcW w:w="6662" w:type="dxa"/>
          </w:tcPr>
          <w:p w14:paraId="37067DD3" w14:textId="77777777" w:rsidR="00F62472" w:rsidRPr="00F62472" w:rsidRDefault="00F62472" w:rsidP="00F62472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6247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ОАО «Интеграл» - управляющая компания холдинга «Интеграл»</w:t>
            </w:r>
          </w:p>
        </w:tc>
      </w:tr>
    </w:tbl>
    <w:p w14:paraId="53256B37" w14:textId="77777777" w:rsidR="00F62472" w:rsidRPr="00F62472" w:rsidRDefault="00F62472" w:rsidP="00F62472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8EFF6F" w14:textId="77777777" w:rsidR="00F62472" w:rsidRPr="00F62472" w:rsidRDefault="00F62472" w:rsidP="00F62472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Повестка дня:</w:t>
      </w:r>
    </w:p>
    <w:p w14:paraId="51EA3916" w14:textId="77777777" w:rsidR="00F62472" w:rsidRPr="00F62472" w:rsidRDefault="00F62472" w:rsidP="00F62472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19CF32F" w14:textId="77777777" w:rsidR="00F62472" w:rsidRPr="00F62472" w:rsidRDefault="00F62472" w:rsidP="00F62472">
      <w:pPr>
        <w:spacing w:line="230" w:lineRule="auto"/>
        <w:ind w:firstLine="59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1. Об утверждении плана заседаний консультативного совета при Министерстве по налогам и сборам Республики Беларусь (далее – консультативный совет) на I полугодие 2026 года.</w:t>
      </w:r>
    </w:p>
    <w:p w14:paraId="1D2A2506" w14:textId="77777777" w:rsidR="00F62472" w:rsidRPr="00F62472" w:rsidRDefault="00F62472" w:rsidP="00F62472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Информация Кондратенко Н.О.</w:t>
      </w:r>
    </w:p>
    <w:p w14:paraId="74DB0D93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2. Об установлении единого порядка ведения бухгалтерского и налогового учета валовой прибыли от операций с ценными бумагами.</w:t>
      </w:r>
    </w:p>
    <w:p w14:paraId="12A4BBAA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Информация Максименко Н.В.</w:t>
      </w:r>
    </w:p>
    <w:p w14:paraId="54C01497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3. О дополнении пункта 4 статьи 174 Налогового кодекса Республики Беларусь (далее – НК) нормами о непризнании доходами имущества, полученного в безвозмездное пользование в процессе преобразования государственного предприятия в открытое акционерное общество.</w:t>
      </w:r>
    </w:p>
    <w:p w14:paraId="67E2C8A8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Информация </w:t>
      </w: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Полуденя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С.А.</w:t>
      </w:r>
    </w:p>
    <w:p w14:paraId="0238D324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4. О включении в состав внереализационных расходов сумм амортизационных отчислений, а также расходов на содержание и </w:t>
      </w:r>
      <w:r w:rsidRPr="00F62472">
        <w:rPr>
          <w:rFonts w:ascii="Times New Roman" w:eastAsia="Calibri" w:hAnsi="Times New Roman" w:cs="Times New Roman"/>
          <w:sz w:val="30"/>
          <w:szCs w:val="30"/>
        </w:rPr>
        <w:lastRenderedPageBreak/>
        <w:t>эксплуатацию имущества, предоставляемого таможенным органам на основании договоров безвозмездного пользования (договоров ссуды).</w:t>
      </w:r>
    </w:p>
    <w:p w14:paraId="5908B417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Информация </w:t>
      </w: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Полуденя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С.А.</w:t>
      </w:r>
    </w:p>
    <w:p w14:paraId="3DF1B00C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5. О корректировке внереализационных расходов, связанных с оказанием помощи сельскохозяйственным товаропроизводителям.</w:t>
      </w:r>
    </w:p>
    <w:p w14:paraId="7BFB9718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Информация </w:t>
      </w: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Полуденя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С.А.</w:t>
      </w:r>
    </w:p>
    <w:p w14:paraId="7DE072A5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6. О включении сумм единовременной материальной помощи на оздоровление в затраты по производству и реализации.</w:t>
      </w:r>
    </w:p>
    <w:p w14:paraId="269B18C2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Информация </w:t>
      </w: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Полуденя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С.А.</w:t>
      </w:r>
    </w:p>
    <w:p w14:paraId="271184D9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7. Об исключении пункта 2.3 пункта 2 статьи 171 НК.</w:t>
      </w:r>
    </w:p>
    <w:p w14:paraId="66223F6A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Информация Кишко О.С.</w:t>
      </w:r>
    </w:p>
    <w:p w14:paraId="4AE7A365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8. О внесении изменений в подпункт 3.23 пункта 3 статьи 175 НК.</w:t>
      </w:r>
    </w:p>
    <w:p w14:paraId="33742405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Информация Кишко О.С.</w:t>
      </w:r>
    </w:p>
    <w:p w14:paraId="0996B4DA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9. О корректировке нормы, позволяющей включать в состав внереализационных расходов отчисления профсоюзным организациям.</w:t>
      </w:r>
    </w:p>
    <w:p w14:paraId="75A4CB49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Информация Кишко О.С.</w:t>
      </w:r>
    </w:p>
    <w:p w14:paraId="4E17A349" w14:textId="77777777" w:rsidR="00F62472" w:rsidRPr="00F62472" w:rsidRDefault="00F62472" w:rsidP="00F62472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BDFF36B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1. СЛУШАЛИ:</w:t>
      </w:r>
    </w:p>
    <w:p w14:paraId="598A5026" w14:textId="77777777" w:rsidR="00F62472" w:rsidRPr="00F62472" w:rsidRDefault="00F62472" w:rsidP="00F6247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Кондратенко Н.О. – доведена информация о предложениях членов консультативного совета, включенных в проект плана заседаний консультативного совета на </w:t>
      </w:r>
      <w:r w:rsidRPr="00F62472">
        <w:rPr>
          <w:rFonts w:ascii="Times New Roman" w:eastAsia="Calibri" w:hAnsi="Times New Roman" w:cs="Times New Roman"/>
          <w:sz w:val="30"/>
          <w:szCs w:val="30"/>
        </w:rPr>
        <w:t>I</w:t>
      </w: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полугодие 2026 г</w:t>
      </w:r>
      <w:r w:rsidRPr="00F62472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A319A72" w14:textId="77777777" w:rsidR="00F62472" w:rsidRPr="00F62472" w:rsidRDefault="00F62472" w:rsidP="00F62472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</w:t>
      </w:r>
      <w:proofErr w:type="gram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: Утвердить</w:t>
      </w:r>
      <w:proofErr w:type="gram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 заседаний консультативного совета на </w:t>
      </w:r>
      <w:r w:rsidRPr="00F62472">
        <w:rPr>
          <w:rFonts w:ascii="Times New Roman" w:eastAsia="Calibri" w:hAnsi="Times New Roman" w:cs="Times New Roman"/>
          <w:sz w:val="30"/>
          <w:szCs w:val="30"/>
        </w:rPr>
        <w:t>I</w:t>
      </w: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 полугодие 2026 г.</w:t>
      </w:r>
    </w:p>
    <w:p w14:paraId="4BFEDCAF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B64F42D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2. </w:t>
      </w: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СЛУШАЛИ:</w:t>
      </w:r>
    </w:p>
    <w:p w14:paraId="3AF82A94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Максименко Н.В. – доведена информация о проводимых корректировках данных бухгалтерского учета операций с ценными бумагами, учитываемыми по справедливой стоимости, для целей налогообложения и высказаны предложения о целесообразности внесения изменений в НК в части сближения бухгалтерского и налогового учетов в этой части</w:t>
      </w:r>
      <w:r w:rsidRPr="00F62472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D864D80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ВЫСТУПИЛИ: Волкогонова Ю.М.,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Конончик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Е.С., Кондратенко Н.О.</w:t>
      </w:r>
    </w:p>
    <w:p w14:paraId="04580A42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 МНС на следующем заседании консультативного совета доложить о принятом решении по включению в законопроект о внесении изменений в НК на 2027 год норм, устанавливающих порядок отражения доходов в виде процентов (дисконта) по ценным бумагам, учитываемым по справедливой стоимости, аналогичный порядку признания таких доходов в бухгалтерском учете.</w:t>
      </w:r>
    </w:p>
    <w:p w14:paraId="408E48E3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D8F0E2C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3. СЛУШАЛИ:</w:t>
      </w:r>
    </w:p>
    <w:p w14:paraId="641F826D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Полудень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С.А. представил имеющиеся предложения о </w:t>
      </w:r>
      <w:r w:rsidRPr="00F62472">
        <w:rPr>
          <w:rFonts w:ascii="Times New Roman" w:eastAsia="Calibri" w:hAnsi="Times New Roman" w:cs="Times New Roman"/>
          <w:sz w:val="30"/>
          <w:szCs w:val="30"/>
        </w:rPr>
        <w:t>дополнении пункта 4 статьи 174 НК нормами о невключении во внереализационные доходы имущества при его безвозмездном получении, если ранее указанное имущество было передано в безвозмездное пользование в процессе преобразования государственного предприятия в открытое акционерное общество.</w:t>
      </w:r>
    </w:p>
    <w:p w14:paraId="27DB84A3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ВЫСТУПИЛИ: Волкогонова Ю.М.,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Веремейко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Ю.А.,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Конончик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Е.С.,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Полудень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С.А., Кишко О.С., Кондратенко Н.О.</w:t>
      </w:r>
    </w:p>
    <w:p w14:paraId="2B7C306A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 Предложение не поддержано по причине того, что отсутствует информация о недостаточности действующих норм, позволяющих не учитывать полученное безвозмездно имущество в составе внереализационных расходов.</w:t>
      </w:r>
    </w:p>
    <w:p w14:paraId="565A2C1F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C5B8464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4. СЛУШАЛИ:</w:t>
      </w:r>
    </w:p>
    <w:p w14:paraId="3DF2D615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Полудень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С.А. – доведена информация, что в соответствии с требованиями Закона Республики Беларусь от 10 января 2014 г. № 129-З «О таможенном регулировании в Республике Беларусь» организации открывают пункты таможенного оформления и несут расходы по их содержанию на основании Положения об обустройстве и техническом оснащении элементов таможенной инфраструктуры, расположенных в местах размещения таможенных органов и учреждений, входящих в систему таможенных органов, и в иных местах, на территории которых могут совершаться таможенные операции и проводиться таможенный контроль, утвержденного постановлением Совета Министров Республики Беларусь от 20 июня 2019 г. № 406. Поскольку несение таких расходов является обязанностью плательщика, предлагается учитывать такие расходы для целей налогообложения.</w:t>
      </w:r>
    </w:p>
    <w:p w14:paraId="280BB0BB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ВЫСТУПИЛИ: Волкогонова Ю.М.,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Полудень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С.А., Старовойтова Д.И.,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Веремейко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 Ю.А., Кишко О.С., Кондратенко Н.О.</w:t>
      </w:r>
    </w:p>
    <w:p w14:paraId="6387CC40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РЕШИЛИ: </w:t>
      </w:r>
    </w:p>
    <w:p w14:paraId="6BB396AD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1) Республиканскому союзу участников таможенных отношений (далее - РСУТО) представить в МНС информацию о количестве организаций, создавших пункты таможенного оформления, и о сумме расходов, понесенных на их содержание за 2025 год.</w:t>
      </w:r>
    </w:p>
    <w:p w14:paraId="63A86C79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Срок </w:t>
      </w:r>
      <w:proofErr w:type="gram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–  до</w:t>
      </w:r>
      <w:proofErr w:type="gram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 июня 2026 г.</w:t>
      </w:r>
    </w:p>
    <w:p w14:paraId="4F564116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2) МНС по итогам изучения полученной от РСУТО информации на очередном заседании консультативного совета доложить о принятом решении о целесообразности включения в законопроект о внесении изменений в НК на 2027 год соответствующих норм, позволяющих учесть при налогообложении прибыли расходы на содержание пунктов таможенного оформления;</w:t>
      </w:r>
    </w:p>
    <w:p w14:paraId="3B0BCEBF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07427D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5. СЛУШАЛИ:</w:t>
      </w:r>
    </w:p>
    <w:p w14:paraId="648E8BBA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Полудень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С.А. представил имеющиеся предложения о корректировке абзацев третьего-пятого подпункта 3.51</w:t>
      </w:r>
      <w:r w:rsidRPr="00F62472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пункта 3 статьи 175 НК, позволяющих включить во внереализационные расходы безвозмездную помощь, оказанную сельскохозяйственным производителям.</w:t>
      </w:r>
    </w:p>
    <w:p w14:paraId="4B934200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ВЫСТУПИЛИ: Волкогонова Ю.М., Кишко О.С., Кулешова Н.Н.,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Веремейко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Ю.А.,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Кацубинская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Е.В., </w:t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Полудень</w:t>
      </w:r>
      <w:proofErr w:type="spellEnd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С.А., Кондратенко Н.О.</w:t>
      </w:r>
    </w:p>
    <w:p w14:paraId="6B57D543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РЕШИЛИ: </w:t>
      </w:r>
    </w:p>
    <w:p w14:paraId="239D4E52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1) Предложение по корректировке </w:t>
      </w:r>
      <w:r w:rsidRPr="00F62472">
        <w:rPr>
          <w:rFonts w:ascii="Times New Roman" w:eastAsia="Calibri" w:hAnsi="Times New Roman" w:cs="Times New Roman"/>
          <w:sz w:val="30"/>
          <w:szCs w:val="30"/>
        </w:rPr>
        <w:t>абзацев третьего и четвертого подпункта 3.51</w:t>
      </w:r>
      <w:r w:rsidRPr="00F62472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пункта 3 статьи 175 НК не поддержано, поскольку расширяет льготу на неограниченное число целей предоставления спонсорской помощи;</w:t>
      </w:r>
    </w:p>
    <w:p w14:paraId="64D277AE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2) предложение по корректировке абзаца пятого подпункта 3.51</w:t>
      </w:r>
      <w:r w:rsidRPr="00F62472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пункта 3 статьи 175 НК в части отнесения на внереализационные расходы затрат, понесенных собственными силами на выполнение работ, поименованных в абзаце третьем названного подпункта, поддерживается. МНС внести соответствующие предложения в Минфин в рамках работы над законопроектом об изменении НК на 2027 год.</w:t>
      </w:r>
    </w:p>
    <w:p w14:paraId="79462A85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3DA2821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6.  СЛУШАЛИ:</w:t>
      </w:r>
    </w:p>
    <w:p w14:paraId="33423E8C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Полудень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С.А. - доведена информация об имеющихся предложениях по изменению норм НК в части учета при налогообложении прибыли единовременной материальной помощи к отпуску на оздоровление, выплачиваемой согласно нормам Трудового кодекса Республики Беларусь, в полном объеме (без ограничения 1% выручки от реализации товаров, работ, услуг).</w:t>
      </w:r>
    </w:p>
    <w:p w14:paraId="0F66626B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ВЫСТУПИЛИ: Волкогонова Ю.М., </w:t>
      </w: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Кондратенко Н.О.</w:t>
      </w:r>
    </w:p>
    <w:p w14:paraId="65DA6960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 Предложение не поддержано в целях необходимости обеспечения стабильности законодательства и недостаточности оснований для пересмотра действующего критерия.</w:t>
      </w:r>
    </w:p>
    <w:p w14:paraId="07098529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3461DFC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7. СЛУШАЛИ:</w:t>
      </w:r>
    </w:p>
    <w:p w14:paraId="03F906D8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Кишко О.С. – внесено предложение об исключении подпункта 2.3 пункта 2 статьи 171 НК, в соответствии с которым в состав прочих нормируемых затрат включаются расходы на проведение в соответствии с законодательством по случаю государственных праздников, праздничных дней и памятных дат официальных торжественных мероприятий, военных парадов, артиллерийских салютов и фейерверков, сохранив при этом действие подпункта 3.29 пункта 3 статьи 175 НК.</w:t>
      </w:r>
    </w:p>
    <w:p w14:paraId="03884C16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ВЫСТУПИЛИ: Волкогонова Ю.М., </w:t>
      </w: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Кацубинская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Е.В., </w:t>
      </w: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Веремейко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 Ю.А., Кулешова Н.Н., </w:t>
      </w: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Бацевичус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О.Ю., Володина И.Ф., </w:t>
      </w: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Конончик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Е.С., </w:t>
      </w: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Кацубинская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Е.В., </w:t>
      </w: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Кондратенко Н.О.</w:t>
      </w:r>
    </w:p>
    <w:p w14:paraId="1EDBA3A3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РЕШИЛИ: Предложение не поддержано по причине того, что по мнению членов консультативного совета необходимо сохранить как действие </w:t>
      </w:r>
      <w:r w:rsidRPr="00F62472">
        <w:rPr>
          <w:rFonts w:ascii="Times New Roman" w:eastAsia="Calibri" w:hAnsi="Times New Roman" w:cs="Times New Roman"/>
          <w:sz w:val="30"/>
          <w:szCs w:val="30"/>
        </w:rPr>
        <w:t>подпункта 3.29 пункта 3 статьи 175 НК, так и положения подпункта 2.3 пункта 2 статьи 171 НК</w:t>
      </w: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B216E2B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C8C4C2C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8. СЛУШАЛИ:</w:t>
      </w:r>
    </w:p>
    <w:p w14:paraId="2D532B32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>Кишко О.С. – доведено предложение о внесении изменений в подпункт 3.23 пункта 3 статьи 175 НК, в соответствии с которыми расширяется перечень случаев, когда возможно для целей налогообложения списать дебиторскую задолженность во внереализационные расходы.</w:t>
      </w:r>
    </w:p>
    <w:p w14:paraId="6AACF6B3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ВЫСТУПИЛИ: Волкогонова Ю.М., </w:t>
      </w: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Веремейко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 Ю.А., Кулешова Н.Н., </w:t>
      </w: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Бацевичус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О.Ю., </w:t>
      </w: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Апимахович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В.А., Старовойтова Д.И., </w:t>
      </w: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Конончик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 Е.С., Володина И.Ф., </w:t>
      </w: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Кондратенко Н.О.</w:t>
      </w:r>
    </w:p>
    <w:p w14:paraId="0881338E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 Предложение не поддержано по причине отсутствия четкости разнородной квалификации условий для применения предлагаемой нормы.</w:t>
      </w:r>
    </w:p>
    <w:p w14:paraId="5FA39218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12895D0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9. СЛУШАЛИ:</w:t>
      </w:r>
    </w:p>
    <w:p w14:paraId="2D08000A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Кишко О.С. – внесено предложение о корректировке </w:t>
      </w: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подпункта 3.51</w:t>
      </w:r>
      <w:r w:rsidRPr="00F62472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2</w:t>
      </w: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3 статьи 175 НК, в соответствии с которым во внереализационные расходы включаются отчисления профсоюзным организациям</w:t>
      </w:r>
      <w:r w:rsidRPr="00F62472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6F6514E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ВЫСТУПИЛИ: Волкогонова Ю.М., </w:t>
      </w:r>
      <w:proofErr w:type="spellStart"/>
      <w:r w:rsidRPr="00F62472">
        <w:rPr>
          <w:rFonts w:ascii="Times New Roman" w:eastAsia="Calibri" w:hAnsi="Times New Roman" w:cs="Times New Roman"/>
          <w:sz w:val="30"/>
          <w:szCs w:val="30"/>
        </w:rPr>
        <w:t>Веремейко</w:t>
      </w:r>
      <w:proofErr w:type="spellEnd"/>
      <w:r w:rsidRPr="00F62472">
        <w:rPr>
          <w:rFonts w:ascii="Times New Roman" w:eastAsia="Calibri" w:hAnsi="Times New Roman" w:cs="Times New Roman"/>
          <w:sz w:val="30"/>
          <w:szCs w:val="30"/>
        </w:rPr>
        <w:t xml:space="preserve"> Ю.А., Кулешова Н.Н., Старовойтова Д.И., </w:t>
      </w: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Кондратенко Н.О.</w:t>
      </w:r>
    </w:p>
    <w:p w14:paraId="5299F6B9" w14:textId="77777777" w:rsidR="00F62472" w:rsidRPr="00F62472" w:rsidRDefault="00F62472" w:rsidP="00F6247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 Предложение не поддержано по причине недостаточного обоснования предлагаемого расширения сферы применения нормы подпункта 3.51</w:t>
      </w:r>
      <w:r w:rsidRPr="00F62472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2</w:t>
      </w: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3 статьи 175 НК.</w:t>
      </w:r>
    </w:p>
    <w:p w14:paraId="779B0BCB" w14:textId="77777777" w:rsidR="00F62472" w:rsidRPr="00F62472" w:rsidRDefault="00F62472" w:rsidP="00F624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2205CDD" w14:textId="77777777" w:rsidR="00F62472" w:rsidRPr="00F62472" w:rsidRDefault="00F62472" w:rsidP="00F62472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</w:t>
      </w:r>
    </w:p>
    <w:p w14:paraId="7E975655" w14:textId="77777777" w:rsidR="00F62472" w:rsidRPr="00F62472" w:rsidRDefault="00F62472" w:rsidP="00F62472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консультативного совета                                              </w:t>
      </w: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С.В.Еськова</w:t>
      </w:r>
      <w:proofErr w:type="spellEnd"/>
    </w:p>
    <w:p w14:paraId="0ED80919" w14:textId="77777777" w:rsidR="00F62472" w:rsidRPr="00F62472" w:rsidRDefault="00F62472" w:rsidP="00F62472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E1AE45" w14:textId="77777777" w:rsidR="00F62472" w:rsidRPr="00F62472" w:rsidRDefault="00F62472" w:rsidP="00F62472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Секретарь </w:t>
      </w:r>
    </w:p>
    <w:p w14:paraId="3CE74AA8" w14:textId="77777777" w:rsidR="00F62472" w:rsidRPr="00F62472" w:rsidRDefault="00F62472" w:rsidP="00F62472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консультативного совета                                              </w:t>
      </w:r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F62472">
        <w:rPr>
          <w:rFonts w:ascii="Times New Roman" w:eastAsia="Times New Roman" w:hAnsi="Times New Roman" w:cs="Times New Roman"/>
          <w:sz w:val="30"/>
          <w:szCs w:val="30"/>
          <w:lang w:eastAsia="ru-RU"/>
        </w:rPr>
        <w:t>Н.О.Кондратенко</w:t>
      </w:r>
      <w:proofErr w:type="spellEnd"/>
    </w:p>
    <w:p w14:paraId="1027F4B6" w14:textId="77777777" w:rsidR="0005366D" w:rsidRPr="00BD73EF" w:rsidRDefault="0005366D" w:rsidP="00F62472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sectPr w:rsidR="0005366D" w:rsidRPr="00BD73EF" w:rsidSect="00837A3C">
      <w:pgSz w:w="11906" w:h="16838" w:code="9"/>
      <w:pgMar w:top="1134" w:right="737" w:bottom="1134" w:left="1701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BB6DC" w14:textId="77777777" w:rsidR="00FF10DE" w:rsidRDefault="00FF10DE" w:rsidP="0097326C">
      <w:r>
        <w:separator/>
      </w:r>
    </w:p>
  </w:endnote>
  <w:endnote w:type="continuationSeparator" w:id="0">
    <w:p w14:paraId="300AC8C4" w14:textId="77777777" w:rsidR="00FF10DE" w:rsidRDefault="00FF10DE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E6A81" w14:textId="77777777" w:rsidR="00FF10DE" w:rsidRDefault="00FF10DE" w:rsidP="0097326C">
      <w:r>
        <w:separator/>
      </w:r>
    </w:p>
  </w:footnote>
  <w:footnote w:type="continuationSeparator" w:id="0">
    <w:p w14:paraId="7C46CA94" w14:textId="77777777" w:rsidR="00FF10DE" w:rsidRDefault="00FF10DE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6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DE"/>
    <w:rsid w:val="00001011"/>
    <w:rsid w:val="00036BDE"/>
    <w:rsid w:val="0005366D"/>
    <w:rsid w:val="00064933"/>
    <w:rsid w:val="00080D42"/>
    <w:rsid w:val="00094807"/>
    <w:rsid w:val="00094A30"/>
    <w:rsid w:val="000C06F7"/>
    <w:rsid w:val="000F0ADF"/>
    <w:rsid w:val="00113B8B"/>
    <w:rsid w:val="001B3ACE"/>
    <w:rsid w:val="001C0C34"/>
    <w:rsid w:val="001C7E2E"/>
    <w:rsid w:val="00241A1E"/>
    <w:rsid w:val="00255AC2"/>
    <w:rsid w:val="00290922"/>
    <w:rsid w:val="002B5086"/>
    <w:rsid w:val="002D0F2F"/>
    <w:rsid w:val="002D39C3"/>
    <w:rsid w:val="002D4A97"/>
    <w:rsid w:val="002D5460"/>
    <w:rsid w:val="002E7FD8"/>
    <w:rsid w:val="003900E2"/>
    <w:rsid w:val="003E6C52"/>
    <w:rsid w:val="00403E6A"/>
    <w:rsid w:val="00421009"/>
    <w:rsid w:val="004745E2"/>
    <w:rsid w:val="00475433"/>
    <w:rsid w:val="004E108E"/>
    <w:rsid w:val="004E191C"/>
    <w:rsid w:val="004E24E0"/>
    <w:rsid w:val="00501EB8"/>
    <w:rsid w:val="00527323"/>
    <w:rsid w:val="0055051D"/>
    <w:rsid w:val="005B0B51"/>
    <w:rsid w:val="006407A1"/>
    <w:rsid w:val="00645252"/>
    <w:rsid w:val="00686414"/>
    <w:rsid w:val="006C2E60"/>
    <w:rsid w:val="006C69B1"/>
    <w:rsid w:val="006D3D5B"/>
    <w:rsid w:val="006D3D74"/>
    <w:rsid w:val="006E22CC"/>
    <w:rsid w:val="007033E0"/>
    <w:rsid w:val="00723FF3"/>
    <w:rsid w:val="007471A0"/>
    <w:rsid w:val="00764330"/>
    <w:rsid w:val="00790599"/>
    <w:rsid w:val="007F4D60"/>
    <w:rsid w:val="0083569A"/>
    <w:rsid w:val="00837A3C"/>
    <w:rsid w:val="00853FA7"/>
    <w:rsid w:val="0089077E"/>
    <w:rsid w:val="008A3545"/>
    <w:rsid w:val="008A3D4A"/>
    <w:rsid w:val="008A4681"/>
    <w:rsid w:val="008C2A73"/>
    <w:rsid w:val="008E4FAA"/>
    <w:rsid w:val="009147F2"/>
    <w:rsid w:val="0092276D"/>
    <w:rsid w:val="00972D90"/>
    <w:rsid w:val="0097326C"/>
    <w:rsid w:val="00990862"/>
    <w:rsid w:val="00992A8A"/>
    <w:rsid w:val="00997ACF"/>
    <w:rsid w:val="00A64D43"/>
    <w:rsid w:val="00A9204E"/>
    <w:rsid w:val="00A9782B"/>
    <w:rsid w:val="00AE5738"/>
    <w:rsid w:val="00BD73EF"/>
    <w:rsid w:val="00BE2BAB"/>
    <w:rsid w:val="00BE7373"/>
    <w:rsid w:val="00C55139"/>
    <w:rsid w:val="00CC3D9D"/>
    <w:rsid w:val="00D349FA"/>
    <w:rsid w:val="00DA623B"/>
    <w:rsid w:val="00DB2337"/>
    <w:rsid w:val="00E26A5B"/>
    <w:rsid w:val="00EF7E9A"/>
    <w:rsid w:val="00F62472"/>
    <w:rsid w:val="00FB6F16"/>
    <w:rsid w:val="00FD63BD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E3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36BD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  <w:sz w:val="30"/>
      <w:szCs w:val="3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  <w:sz w:val="30"/>
      <w:szCs w:val="3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  <w:sz w:val="30"/>
      <w:szCs w:val="30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  <w:sz w:val="30"/>
      <w:szCs w:val="30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 w:val="30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 w:val="30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ascii="Times New Roman" w:eastAsiaTheme="minorEastAsia" w:hAnsi="Times New Roman" w:cs="Calibri"/>
      <w:color w:val="5A5A5A" w:themeColor="text1" w:themeTint="A5"/>
      <w:spacing w:val="15"/>
      <w:sz w:val="30"/>
      <w:szCs w:val="30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rFonts w:ascii="Times New Roman" w:hAnsi="Times New Roman" w:cs="Calibri"/>
      <w:i/>
      <w:iCs/>
      <w:color w:val="404040" w:themeColor="text1" w:themeTint="BF"/>
      <w:sz w:val="30"/>
      <w:szCs w:val="30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="Times New Roman" w:hAnsi="Times New Roman" w:cs="Calibri"/>
      <w:i/>
      <w:iCs/>
      <w:color w:val="1F4E79" w:themeColor="accent1" w:themeShade="80"/>
      <w:sz w:val="30"/>
      <w:szCs w:val="3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rFonts w:ascii="Times New Roman" w:hAnsi="Times New Roman" w:cs="Calibri"/>
      <w:i/>
      <w:iCs/>
      <w:color w:val="44546A" w:themeColor="text2"/>
      <w:sz w:val="30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 w:val="30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="Times New Roman" w:eastAsiaTheme="minorEastAsia" w:hAnsi="Times New Roman" w:cs="Calibri"/>
      <w:i/>
      <w:iCs/>
      <w:color w:val="1F4E79" w:themeColor="accent1" w:themeShade="80"/>
      <w:sz w:val="30"/>
      <w:szCs w:val="3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rFonts w:ascii="Times New Roman" w:hAnsi="Times New Roman" w:cs="Calibri"/>
      <w:sz w:val="30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rFonts w:ascii="Times New Roman" w:hAnsi="Times New Roman" w:cs="Calibri"/>
      <w:sz w:val="30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 w:val="30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 w:val="30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 w:cs="Calibri"/>
      <w:sz w:val="30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 w:cs="Calibri"/>
      <w:sz w:val="30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  <w:rPr>
      <w:rFonts w:ascii="Times New Roman" w:hAnsi="Times New Roman" w:cs="Calibri"/>
      <w:sz w:val="30"/>
      <w:szCs w:val="30"/>
    </w:r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rFonts w:ascii="Times New Roman" w:hAnsi="Times New Roman" w:cs="Calibri"/>
      <w:i/>
      <w:iCs/>
      <w:sz w:val="30"/>
      <w:szCs w:val="30"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  <w:rPr>
      <w:rFonts w:ascii="Times New Roman" w:hAnsi="Times New Roman" w:cs="Calibri"/>
      <w:sz w:val="30"/>
      <w:szCs w:val="30"/>
    </w:r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  <w:rPr>
      <w:rFonts w:ascii="Times New Roman" w:hAnsi="Times New Roman" w:cs="Calibri"/>
      <w:sz w:val="30"/>
      <w:szCs w:val="30"/>
    </w:r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  <w:rPr>
      <w:rFonts w:ascii="Times New Roman" w:hAnsi="Times New Roman" w:cs="Calibri"/>
      <w:sz w:val="30"/>
      <w:szCs w:val="30"/>
    </w:r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  <w:rPr>
      <w:rFonts w:ascii="Times New Roman" w:hAnsi="Times New Roman" w:cs="Calibri"/>
      <w:sz w:val="30"/>
      <w:szCs w:val="30"/>
    </w:r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  <w:rPr>
      <w:rFonts w:ascii="Times New Roman" w:hAnsi="Times New Roman" w:cs="Calibri"/>
      <w:sz w:val="30"/>
      <w:szCs w:val="30"/>
    </w:r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  <w:rPr>
      <w:rFonts w:ascii="Times New Roman" w:hAnsi="Times New Roman" w:cs="Calibri"/>
      <w:sz w:val="30"/>
      <w:szCs w:val="30"/>
    </w:r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  <w:rPr>
      <w:rFonts w:ascii="Times New Roman" w:hAnsi="Times New Roman" w:cs="Calibri"/>
      <w:sz w:val="30"/>
      <w:szCs w:val="30"/>
    </w:r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  <w:rPr>
      <w:rFonts w:ascii="Times New Roman" w:hAnsi="Times New Roman" w:cs="Calibri"/>
      <w:sz w:val="30"/>
      <w:szCs w:val="30"/>
    </w:r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  <w:rPr>
      <w:rFonts w:ascii="Times New Roman" w:hAnsi="Times New Roman" w:cs="Calibri"/>
      <w:sz w:val="30"/>
      <w:szCs w:val="30"/>
    </w:r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  <w:rPr>
      <w:rFonts w:ascii="Times New Roman" w:hAnsi="Times New Roman" w:cs="Calibri"/>
      <w:sz w:val="30"/>
      <w:szCs w:val="30"/>
    </w:r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  <w:rPr>
      <w:rFonts w:ascii="Times New Roman" w:hAnsi="Times New Roman" w:cs="Calibri"/>
      <w:sz w:val="30"/>
      <w:szCs w:val="30"/>
    </w:r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  <w:rPr>
      <w:rFonts w:ascii="Times New Roman" w:hAnsi="Times New Roman" w:cs="Calibri"/>
      <w:sz w:val="30"/>
      <w:szCs w:val="30"/>
    </w:r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  <w:rPr>
      <w:rFonts w:ascii="Times New Roman" w:hAnsi="Times New Roman" w:cs="Calibri"/>
      <w:sz w:val="30"/>
      <w:szCs w:val="30"/>
    </w:r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  <w:rPr>
      <w:rFonts w:ascii="Times New Roman" w:hAnsi="Times New Roman" w:cs="Calibri"/>
      <w:sz w:val="30"/>
      <w:szCs w:val="30"/>
    </w:r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  <w:rPr>
      <w:rFonts w:ascii="Times New Roman" w:hAnsi="Times New Roman" w:cs="Calibri"/>
      <w:sz w:val="30"/>
      <w:szCs w:val="30"/>
    </w:r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  <w:rPr>
      <w:rFonts w:ascii="Times New Roman" w:hAnsi="Times New Roman" w:cs="Calibri"/>
      <w:sz w:val="30"/>
      <w:szCs w:val="30"/>
    </w:r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  <w:rPr>
      <w:rFonts w:ascii="Times New Roman" w:hAnsi="Times New Roman" w:cs="Calibri"/>
      <w:sz w:val="30"/>
      <w:szCs w:val="30"/>
    </w:r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  <w:rPr>
      <w:rFonts w:ascii="Times New Roman" w:hAnsi="Times New Roman" w:cs="Calibri"/>
      <w:sz w:val="30"/>
      <w:szCs w:val="30"/>
    </w:r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  <w:rPr>
      <w:rFonts w:ascii="Times New Roman" w:hAnsi="Times New Roman" w:cs="Calibri"/>
      <w:sz w:val="30"/>
      <w:szCs w:val="30"/>
    </w:r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  <w:rPr>
      <w:rFonts w:ascii="Times New Roman" w:hAnsi="Times New Roman" w:cs="Calibri"/>
      <w:sz w:val="30"/>
      <w:szCs w:val="30"/>
    </w:r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  <w:rPr>
      <w:rFonts w:ascii="Times New Roman" w:hAnsi="Times New Roman" w:cs="Calibri"/>
      <w:sz w:val="30"/>
      <w:szCs w:val="30"/>
    </w:r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  <w:rPr>
      <w:rFonts w:ascii="Times New Roman" w:hAnsi="Times New Roman" w:cs="Calibri"/>
      <w:sz w:val="30"/>
      <w:szCs w:val="30"/>
    </w:r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  <w:rPr>
      <w:rFonts w:ascii="Times New Roman" w:hAnsi="Times New Roman" w:cs="Calibri"/>
      <w:sz w:val="30"/>
      <w:szCs w:val="30"/>
    </w:r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  <w:rPr>
      <w:rFonts w:ascii="Times New Roman" w:hAnsi="Times New Roman" w:cs="Calibri"/>
      <w:sz w:val="30"/>
      <w:szCs w:val="30"/>
    </w:r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  <w:rPr>
      <w:rFonts w:ascii="Times New Roman" w:hAnsi="Times New Roman" w:cs="Calibri"/>
      <w:sz w:val="30"/>
      <w:szCs w:val="30"/>
    </w:r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  <w:rPr>
      <w:rFonts w:ascii="Times New Roman" w:hAnsi="Times New Roman" w:cs="Calibri"/>
      <w:sz w:val="30"/>
      <w:szCs w:val="30"/>
    </w:r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  <w:rPr>
      <w:rFonts w:ascii="Times New Roman" w:hAnsi="Times New Roman" w:cs="Calibri"/>
      <w:sz w:val="30"/>
      <w:szCs w:val="30"/>
    </w:r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  <w:rPr>
      <w:rFonts w:ascii="Times New Roman" w:hAnsi="Times New Roman" w:cs="Calibri"/>
      <w:sz w:val="30"/>
      <w:szCs w:val="30"/>
    </w:r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  <w:rPr>
      <w:rFonts w:ascii="Times New Roman" w:hAnsi="Times New Roman" w:cs="Calibri"/>
      <w:sz w:val="30"/>
      <w:szCs w:val="30"/>
    </w:rPr>
  </w:style>
  <w:style w:type="table" w:styleId="17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  <w:rPr>
      <w:rFonts w:ascii="Times New Roman" w:hAnsi="Times New Roman" w:cs="Calibri"/>
      <w:sz w:val="30"/>
      <w:szCs w:val="30"/>
    </w:r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9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  <w:rPr>
      <w:rFonts w:ascii="Times New Roman" w:hAnsi="Times New Roman" w:cs="Calibri"/>
      <w:sz w:val="30"/>
      <w:szCs w:val="30"/>
    </w:r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  <w:rPr>
      <w:rFonts w:ascii="Times New Roman" w:hAnsi="Times New Roman" w:cs="Calibri"/>
      <w:sz w:val="30"/>
      <w:szCs w:val="30"/>
    </w:r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  <w:rPr>
      <w:rFonts w:ascii="Times New Roman" w:hAnsi="Times New Roman" w:cs="Calibri"/>
      <w:sz w:val="30"/>
      <w:szCs w:val="30"/>
    </w:r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  <w:rPr>
      <w:rFonts w:ascii="Times New Roman" w:hAnsi="Times New Roman" w:cs="Calibri"/>
      <w:sz w:val="30"/>
      <w:szCs w:val="30"/>
    </w:r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  <w:rPr>
      <w:rFonts w:ascii="Times New Roman" w:hAnsi="Times New Roman" w:cs="Calibri"/>
      <w:sz w:val="30"/>
      <w:szCs w:val="30"/>
    </w:r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8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b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  <w:rPr>
      <w:rFonts w:ascii="Times New Roman" w:hAnsi="Times New Roman" w:cs="Calibri"/>
      <w:sz w:val="30"/>
      <w:szCs w:val="30"/>
    </w:r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c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  <w:rPr>
      <w:rFonts w:ascii="Times New Roman" w:hAnsi="Times New Roman" w:cs="Calibri"/>
      <w:sz w:val="30"/>
      <w:szCs w:val="30"/>
    </w:r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  <w:rPr>
      <w:rFonts w:ascii="Times New Roman" w:hAnsi="Times New Roman" w:cs="Calibri"/>
      <w:sz w:val="30"/>
      <w:szCs w:val="30"/>
    </w:r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  <w:rPr>
      <w:rFonts w:ascii="Times New Roman" w:hAnsi="Times New Roman" w:cs="Calibri"/>
      <w:sz w:val="30"/>
      <w:szCs w:val="30"/>
    </w:r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  <w:rPr>
      <w:rFonts w:ascii="Times New Roman" w:hAnsi="Times New Roman" w:cs="Calibri"/>
      <w:sz w:val="30"/>
      <w:szCs w:val="30"/>
    </w:r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  <w:rPr>
      <w:rFonts w:ascii="Times New Roman" w:hAnsi="Times New Roman" w:cs="Calibri"/>
      <w:sz w:val="30"/>
      <w:szCs w:val="30"/>
    </w:r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  <w:rPr>
      <w:rFonts w:ascii="Times New Roman" w:hAnsi="Times New Roman" w:cs="Calibri"/>
      <w:sz w:val="30"/>
      <w:szCs w:val="30"/>
    </w:r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  <w:rPr>
      <w:rFonts w:ascii="Times New Roman" w:hAnsi="Times New Roman" w:cs="Calibri"/>
      <w:sz w:val="30"/>
      <w:szCs w:val="30"/>
    </w:r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  <w:rPr>
      <w:rFonts w:ascii="Times New Roman" w:hAnsi="Times New Roman" w:cs="Calibri"/>
      <w:sz w:val="30"/>
      <w:szCs w:val="30"/>
    </w:r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  <w:rPr>
      <w:rFonts w:ascii="Times New Roman" w:hAnsi="Times New Roman" w:cs="Calibri"/>
      <w:sz w:val="30"/>
      <w:szCs w:val="30"/>
    </w:rPr>
  </w:style>
  <w:style w:type="paragraph" w:styleId="afffff6">
    <w:name w:val="index heading"/>
    <w:basedOn w:val="a2"/>
    <w:next w:val="1e"/>
    <w:uiPriority w:val="99"/>
    <w:semiHidden/>
    <w:unhideWhenUsed/>
    <w:rsid w:val="0097326C"/>
    <w:rPr>
      <w:rFonts w:ascii="Calibri Light" w:eastAsiaTheme="majorEastAsia" w:hAnsi="Calibri Light" w:cs="Calibri Light"/>
      <w:b/>
      <w:bCs/>
      <w:sz w:val="30"/>
      <w:szCs w:val="30"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  <w:rPr>
      <w:rFonts w:ascii="Times New Roman" w:hAnsi="Times New Roman" w:cs="Calibri"/>
      <w:sz w:val="30"/>
      <w:szCs w:val="30"/>
    </w:r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5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9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a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kondratenko\AppData\Roaming\Microsoft\&#1064;&#1072;&#1073;&#1083;&#1086;&#1085;&#1099;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(пустой).dotx</Template>
  <TotalTime>0</TotalTime>
  <Pages>5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2026-05-27T07:52:00Z</dcterms:created>
  <dcterms:modified xsi:type="dcterms:W3CDTF">2026-05-27T07:52:00Z</dcterms:modified>
</cp:coreProperties>
</file>